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DE" w:rsidRDefault="00FE2A90" w:rsidP="00FE2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90">
        <w:rPr>
          <w:rFonts w:ascii="Times New Roman" w:hAnsi="Times New Roman" w:cs="Times New Roman"/>
          <w:sz w:val="28"/>
          <w:szCs w:val="28"/>
        </w:rPr>
        <w:t>Отчет по обращениям граждан за 2021 год</w:t>
      </w:r>
    </w:p>
    <w:tbl>
      <w:tblPr>
        <w:tblW w:w="10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626"/>
        <w:gridCol w:w="567"/>
        <w:gridCol w:w="567"/>
        <w:gridCol w:w="709"/>
        <w:gridCol w:w="792"/>
        <w:gridCol w:w="708"/>
        <w:gridCol w:w="709"/>
        <w:gridCol w:w="709"/>
        <w:gridCol w:w="567"/>
        <w:gridCol w:w="683"/>
        <w:gridCol w:w="818"/>
        <w:gridCol w:w="567"/>
      </w:tblGrid>
      <w:tr w:rsidR="00FE2A90" w:rsidRPr="004027D6" w:rsidTr="00AE3402">
        <w:tc>
          <w:tcPr>
            <w:tcW w:w="1384" w:type="dxa"/>
            <w:vMerge w:val="restart"/>
          </w:tcPr>
          <w:p w:rsidR="00FE2A90" w:rsidRPr="004027D6" w:rsidRDefault="00FE2A90" w:rsidP="00AE3402">
            <w:pPr>
              <w:spacing w:before="100" w:beforeAutospacing="1" w:afterAutospacing="1"/>
              <w:ind w:right="27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E2A90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8022" w:type="dxa"/>
            <w:gridSpan w:val="12"/>
          </w:tcPr>
          <w:p w:rsidR="00FE2A90" w:rsidRPr="004027D6" w:rsidRDefault="00FE2A90" w:rsidP="00AE340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в том числе:</w:t>
            </w:r>
          </w:p>
        </w:tc>
      </w:tr>
      <w:tr w:rsidR="00FE2A90" w:rsidRPr="004027D6" w:rsidTr="00AE3402">
        <w:tc>
          <w:tcPr>
            <w:tcW w:w="1384" w:type="dxa"/>
            <w:vMerge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обустройство контейнерных площадок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кладбищ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7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вырубку зеленых насаждений</w:t>
            </w:r>
          </w:p>
        </w:tc>
        <w:tc>
          <w:tcPr>
            <w:tcW w:w="70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захоронение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выдача разрешений на земляные работы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обращения по земельным вопросам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о присвоении адреса</w:t>
            </w:r>
          </w:p>
        </w:tc>
        <w:tc>
          <w:tcPr>
            <w:tcW w:w="683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участие в «Народном бюджете»</w:t>
            </w:r>
          </w:p>
        </w:tc>
        <w:tc>
          <w:tcPr>
            <w:tcW w:w="81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вопросы о передаче по подведомственности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Прочие</w:t>
            </w:r>
          </w:p>
        </w:tc>
      </w:tr>
      <w:tr w:rsidR="00FE2A90" w:rsidRPr="004027D6" w:rsidTr="00AE3402">
        <w:tc>
          <w:tcPr>
            <w:tcW w:w="1384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Письменные обращения</w:t>
            </w:r>
          </w:p>
        </w:tc>
        <w:tc>
          <w:tcPr>
            <w:tcW w:w="9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626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83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FE2A90" w:rsidRPr="004027D6" w:rsidTr="00AE3402">
        <w:tc>
          <w:tcPr>
            <w:tcW w:w="1384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2A90" w:rsidRPr="004027D6" w:rsidTr="00AE3402">
        <w:tc>
          <w:tcPr>
            <w:tcW w:w="1384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Устные обращения</w:t>
            </w:r>
          </w:p>
        </w:tc>
        <w:tc>
          <w:tcPr>
            <w:tcW w:w="9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26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ind w:hanging="67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27D6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</w:tr>
      <w:tr w:rsidR="00FE2A90" w:rsidRPr="004027D6" w:rsidTr="00AE3402">
        <w:tc>
          <w:tcPr>
            <w:tcW w:w="1384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2A90" w:rsidRPr="004027D6" w:rsidRDefault="00FE2A90" w:rsidP="00AE340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E2A90" w:rsidRPr="00FE2A90" w:rsidRDefault="00FE2A90" w:rsidP="00FE2A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2A90" w:rsidRPr="00FE2A90" w:rsidSect="00FE2A9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E2A90"/>
    <w:rsid w:val="00401FDE"/>
    <w:rsid w:val="00A33AD0"/>
    <w:rsid w:val="00BE2093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2022-03-11T06:54:00Z</dcterms:created>
  <dcterms:modified xsi:type="dcterms:W3CDTF">2022-03-11T06:57:00Z</dcterms:modified>
</cp:coreProperties>
</file>