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88B" w:rsidTr="00AC4EFF">
        <w:tc>
          <w:tcPr>
            <w:tcW w:w="4785" w:type="dxa"/>
          </w:tcPr>
          <w:p w:rsidR="0031388B" w:rsidRDefault="0031388B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1388B" w:rsidRDefault="0031388B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388B" w:rsidRDefault="0031388B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31388B" w:rsidRDefault="0031388B" w:rsidP="0031388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«08» ноября 2018г.</w:t>
            </w:r>
          </w:p>
        </w:tc>
      </w:tr>
    </w:tbl>
    <w:p w:rsidR="0031388B" w:rsidRDefault="0031388B" w:rsidP="003138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88B" w:rsidRPr="0031388B" w:rsidRDefault="0031388B" w:rsidP="0031388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Позиция Верховного Суда Российской Федерации по вопросу защиту прав обманутых дольщиков</w:t>
      </w:r>
    </w:p>
    <w:p w:rsidR="0031388B" w:rsidRDefault="0031388B" w:rsidP="0031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Судебной коллегией по гражданским делам Верховного Суда Российской Федерации принято определение от 11.09.2018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88B">
        <w:rPr>
          <w:rFonts w:ascii="Times New Roman" w:eastAsia="Times New Roman" w:hAnsi="Times New Roman" w:cs="Times New Roman"/>
          <w:sz w:val="28"/>
          <w:szCs w:val="28"/>
        </w:rPr>
        <w:t>41-КГ18-27 после рассмотрения гражданского дела по исковому заявлению участника долевого строительства.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Рассмотрев спор, Верховный Суд Российской Федерации пришел к выводу о том, что дольщик вправе расторгнуть договор участия в долевом строительстве (далее – ДДУ) из-за просрочки застройщика и требовать от него уплаты цены ДДУ с процентами, убытков, возмещения морального вреда, а затем и потребительского штрафа. Однако если просрочка совсем невелика, а сумма требований значительно превышает цену договора, – в действиях потребителя есть признаки злоупотребления правом.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Исходя из обстоятельств дела, застройщик обязан был передать квартиру участнику долевого строительства не позднее 30.09.2016, однако, фактически направил уведомление о ее готовности только в декабре 2016 г. Дольщик, не успев получить уведомление на почте, сам уведомил застройщика о том, что согласно п. 1 ч. 1 ст. 9 Федерального закона от 30 декабря 2004 г. № 214-ФЗ «Об участии в долевом строительстве многоквартирных домов и иных объектов недвижимости и 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388B">
        <w:rPr>
          <w:rFonts w:ascii="Times New Roman" w:eastAsia="Times New Roman" w:hAnsi="Times New Roman" w:cs="Times New Roman"/>
          <w:sz w:val="28"/>
          <w:szCs w:val="28"/>
        </w:rPr>
        <w:t> расторгает ДДУ и требует возвратить ему уплаченные по этому договору деньги и проценты за пользование ими (1/150 ставки рефинансирования в сутки, начиная со дня уплаты цены ДДУ). Всего дольщик просил вернуть ему около 1,5 стоимости ДДУ.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В суде испрашивалась еще большая сумма – помимо цены ДДУ и процентов, взыскивались убытки, неустойка, судебные расходы, некоторая сумма в счет компенсации морального вреда и, разумеется, «потребительский» штраф в размере половины всего присужденного за неудовлетворение в добровольном порядке требований потребителя (п. 6 ст.13 Закона РФ от 7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31388B">
        <w:rPr>
          <w:rFonts w:ascii="Times New Roman" w:eastAsia="Times New Roman" w:hAnsi="Times New Roman" w:cs="Times New Roman"/>
          <w:sz w:val="28"/>
          <w:szCs w:val="28"/>
        </w:rPr>
        <w:t>1992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88B">
        <w:rPr>
          <w:rFonts w:ascii="Times New Roman" w:eastAsia="Times New Roman" w:hAnsi="Times New Roman" w:cs="Times New Roman"/>
          <w:sz w:val="28"/>
          <w:szCs w:val="28"/>
        </w:rPr>
        <w:t>2300-I «О защите прав потребителей»).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Суд первой и апелляционной инстанции присудил к выплате дольщику сумму, превысившую цену ДДУ в 2,4 раза, и вдвое превысившую рыночную цену спорной квартиры. Доводы о том, что дольщик злоупотребляет правом, суды – районный и областной – оценивать не стали.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Пересматривая дело по жалобе застройщика, Верховный Суд Российской Федерации указал на следующее: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lastRenderedPageBreak/>
        <w:t>неустойка и штраф, подлежащие взысканию с застройщика, по своей правовой природе являются мерами гражданско-правовой ответственности и направлены на восстановление нарушенных имущественных прав гражданина-участника долевого строительства, а не на получение им необоснованной выгоды;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если подлежащая уплате неустойка явно несоразмерна последствиям нарушения обязательства, суд согласно ст. 333 ГК РФ вправе уменьшить неустойку. Несоразмерность и необоснованность выгоды могут выражаться, в частности, в том, что возможный размер убытков кредитора, которые могли возникнуть вследствие нарушения обязательства, значительно ниже начисленной неустойки;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если застройщик просит об уменьшении подлежащих взысканию с него неустойки и штрафа, суд обязан установить разумный баланс между начисленной суммой неустойки и штрафа, с одной стороны, и размером убытков, причиненных гражданину в связи с просрочкой передачи квартиры, с другой. К этим убыткам дольщика могут относиться, в частности, расходы на наем жилья и упущенная выгода в размере процентного дохода по банковскому вкладу;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в отношениях, вытекающих из договора участия в долевом строительстве, требования добросовестности в равной мере распространяются как на застройщика, так и на гражданина-участника долевого строительства. Судам следовало дать оценку поведению истца с точки зрения его добросовестности, учитывая, что обязанность по созданию объекта долевого строительства и направлению истцу уведомления о его готовности к передаче ответчиком исполнена.</w:t>
      </w:r>
    </w:p>
    <w:p w:rsidR="0031388B" w:rsidRPr="0031388B" w:rsidRDefault="0031388B" w:rsidP="0031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8B">
        <w:rPr>
          <w:rFonts w:ascii="Times New Roman" w:eastAsia="Times New Roman" w:hAnsi="Times New Roman" w:cs="Times New Roman"/>
          <w:sz w:val="28"/>
          <w:szCs w:val="28"/>
        </w:rPr>
        <w:t>Верховным Судом Российской Федерации решения нижестоящих судов отменены, дело возращено на новое рассмотрение.</w:t>
      </w:r>
    </w:p>
    <w:p w:rsidR="0031388B" w:rsidRDefault="0031388B" w:rsidP="0031388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88B" w:rsidRPr="0031388B" w:rsidRDefault="0031388B" w:rsidP="0031388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88B" w:rsidRDefault="0031388B" w:rsidP="003138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1388B" w:rsidRDefault="0031388B" w:rsidP="003138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1388B" w:rsidRDefault="0031388B" w:rsidP="003138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88B" w:rsidRPr="00AF3286" w:rsidRDefault="0031388B" w:rsidP="0031388B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C24C1A" w:rsidRDefault="00C24C1A" w:rsidP="0031388B">
      <w:pPr>
        <w:spacing w:after="0" w:line="240" w:lineRule="exact"/>
      </w:pPr>
    </w:p>
    <w:sectPr w:rsidR="00C24C1A" w:rsidSect="003138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1A" w:rsidRDefault="00C24C1A" w:rsidP="0031388B">
      <w:pPr>
        <w:spacing w:after="0" w:line="240" w:lineRule="auto"/>
      </w:pPr>
      <w:r>
        <w:separator/>
      </w:r>
    </w:p>
  </w:endnote>
  <w:endnote w:type="continuationSeparator" w:id="1">
    <w:p w:rsidR="00C24C1A" w:rsidRDefault="00C24C1A" w:rsidP="0031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1A" w:rsidRDefault="00C24C1A" w:rsidP="0031388B">
      <w:pPr>
        <w:spacing w:after="0" w:line="240" w:lineRule="auto"/>
      </w:pPr>
      <w:r>
        <w:separator/>
      </w:r>
    </w:p>
  </w:footnote>
  <w:footnote w:type="continuationSeparator" w:id="1">
    <w:p w:rsidR="00C24C1A" w:rsidRDefault="00C24C1A" w:rsidP="0031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350"/>
      <w:docPartObj>
        <w:docPartGallery w:val="Page Numbers (Top of Page)"/>
        <w:docPartUnique/>
      </w:docPartObj>
    </w:sdtPr>
    <w:sdtContent>
      <w:p w:rsidR="0031388B" w:rsidRDefault="0031388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388B" w:rsidRDefault="003138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88B"/>
    <w:rsid w:val="0031388B"/>
    <w:rsid w:val="00C2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1388B"/>
  </w:style>
  <w:style w:type="paragraph" w:styleId="a3">
    <w:name w:val="Normal (Web)"/>
    <w:basedOn w:val="a"/>
    <w:uiPriority w:val="99"/>
    <w:semiHidden/>
    <w:unhideWhenUsed/>
    <w:rsid w:val="0031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88B"/>
  </w:style>
  <w:style w:type="paragraph" w:styleId="a7">
    <w:name w:val="footer"/>
    <w:basedOn w:val="a"/>
    <w:link w:val="a8"/>
    <w:uiPriority w:val="99"/>
    <w:semiHidden/>
    <w:unhideWhenUsed/>
    <w:rsid w:val="003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2018-11-15T07:59:00Z</cp:lastPrinted>
  <dcterms:created xsi:type="dcterms:W3CDTF">2018-11-15T07:23:00Z</dcterms:created>
  <dcterms:modified xsi:type="dcterms:W3CDTF">2018-11-15T08:00:00Z</dcterms:modified>
</cp:coreProperties>
</file>